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B9" w:rsidRDefault="00581062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附件：</w:t>
      </w:r>
      <w:r>
        <w:rPr>
          <w:rFonts w:ascii="宋体" w:hAnsi="宋体" w:hint="eastAsia"/>
          <w:bCs/>
          <w:sz w:val="28"/>
          <w:szCs w:val="28"/>
        </w:rPr>
        <w:t xml:space="preserve">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>《天津工业大学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/>
          <w:bCs/>
          <w:sz w:val="32"/>
          <w:szCs w:val="32"/>
        </w:rPr>
        <w:t>0</w:t>
      </w:r>
      <w:r>
        <w:rPr>
          <w:rFonts w:ascii="黑体" w:eastAsia="黑体" w:hAnsi="黑体" w:cs="黑体" w:hint="eastAsia"/>
          <w:bCs/>
          <w:sz w:val="32"/>
          <w:szCs w:val="32"/>
        </w:rPr>
        <w:t>20</w:t>
      </w:r>
      <w:r>
        <w:rPr>
          <w:rFonts w:ascii="黑体" w:eastAsia="黑体" w:hAnsi="黑体" w:cs="黑体"/>
          <w:bCs/>
          <w:sz w:val="32"/>
          <w:szCs w:val="32"/>
        </w:rPr>
        <w:t>-202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学年本科教学质量报告》任务分配表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2152"/>
        <w:gridCol w:w="4770"/>
        <w:gridCol w:w="2895"/>
        <w:gridCol w:w="4357"/>
      </w:tblGrid>
      <w:tr w:rsidR="001A71B9">
        <w:trPr>
          <w:trHeight w:val="926"/>
        </w:trPr>
        <w:tc>
          <w:tcPr>
            <w:tcW w:w="2152" w:type="dxa"/>
            <w:vAlign w:val="center"/>
          </w:tcPr>
          <w:p w:rsidR="001A71B9" w:rsidRDefault="009C72DB" w:rsidP="009C72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报告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章节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详细内容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责任部门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提供材料形式</w:t>
            </w:r>
          </w:p>
        </w:tc>
      </w:tr>
      <w:tr w:rsidR="001A71B9">
        <w:trPr>
          <w:trHeight w:val="437"/>
        </w:trPr>
        <w:tc>
          <w:tcPr>
            <w:tcW w:w="2152" w:type="dxa"/>
            <w:vMerge w:val="restart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本科教育基本情况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1.1</w:t>
            </w:r>
            <w:r>
              <w:rPr>
                <w:rFonts w:ascii="宋体" w:hAnsi="宋体" w:hint="eastAsia"/>
                <w:bCs/>
                <w:szCs w:val="21"/>
              </w:rPr>
              <w:t>学校概况</w:t>
            </w:r>
          </w:p>
        </w:tc>
        <w:tc>
          <w:tcPr>
            <w:tcW w:w="2895" w:type="dxa"/>
            <w:vMerge w:val="restart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教学质量监控与评估中心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1.2</w:t>
            </w:r>
            <w:r>
              <w:rPr>
                <w:rFonts w:ascii="宋体" w:hAnsi="宋体" w:hint="eastAsia"/>
                <w:bCs/>
                <w:szCs w:val="21"/>
              </w:rPr>
              <w:t>本科人才培养目标及服务面向</w:t>
            </w:r>
          </w:p>
        </w:tc>
        <w:tc>
          <w:tcPr>
            <w:tcW w:w="2895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1.3</w:t>
            </w:r>
            <w:r>
              <w:rPr>
                <w:rFonts w:ascii="宋体" w:hAnsi="宋体" w:hint="eastAsia"/>
                <w:bCs/>
                <w:szCs w:val="21"/>
              </w:rPr>
              <w:t>本科专业设置情况</w:t>
            </w:r>
          </w:p>
        </w:tc>
        <w:tc>
          <w:tcPr>
            <w:tcW w:w="2895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493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1.4</w:t>
            </w:r>
            <w:r>
              <w:rPr>
                <w:rFonts w:ascii="宋体" w:hAnsi="宋体" w:hint="eastAsia"/>
                <w:bCs/>
                <w:szCs w:val="21"/>
              </w:rPr>
              <w:t>全日制在校学生情况及本科生所占比例</w:t>
            </w:r>
          </w:p>
        </w:tc>
        <w:tc>
          <w:tcPr>
            <w:tcW w:w="2895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381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1.5</w:t>
            </w:r>
            <w:r>
              <w:rPr>
                <w:rFonts w:ascii="宋体" w:hAnsi="宋体" w:hint="eastAsia"/>
                <w:bCs/>
                <w:szCs w:val="21"/>
              </w:rPr>
              <w:t>本科生源质量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1823"/>
        </w:trPr>
        <w:tc>
          <w:tcPr>
            <w:tcW w:w="2152" w:type="dxa"/>
            <w:vMerge w:val="restart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师资与教学条件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2.1</w:t>
            </w:r>
            <w:r>
              <w:rPr>
                <w:rFonts w:ascii="宋体" w:hAnsi="宋体" w:hint="eastAsia"/>
                <w:bCs/>
                <w:szCs w:val="21"/>
              </w:rPr>
              <w:t>师资队伍建设及存在问题和改进措施（包括师资数量及结构、高层次人才、教学水平、教学投入、教师发展与服务等）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人事处（教师发展中心）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970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2.2</w:t>
            </w:r>
            <w:r>
              <w:rPr>
                <w:rFonts w:ascii="宋体" w:hAnsi="宋体" w:hint="eastAsia"/>
                <w:bCs/>
                <w:szCs w:val="21"/>
              </w:rPr>
              <w:t>教学经费投入情况及存在问题和改进措施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财务处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3510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2.3</w:t>
            </w:r>
            <w:r>
              <w:rPr>
                <w:rFonts w:ascii="宋体" w:hAnsi="宋体" w:hint="eastAsia"/>
                <w:bCs/>
                <w:szCs w:val="21"/>
              </w:rPr>
              <w:t>教学用房、图书、仪器设备、信息资源的应用情况及存在问题和改进措施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战略发展研究中心</w:t>
            </w:r>
          </w:p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图书馆</w:t>
            </w:r>
          </w:p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国有资产与设备管理处</w:t>
            </w:r>
          </w:p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网络安全和信息化办公室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5616"/>
        </w:trPr>
        <w:tc>
          <w:tcPr>
            <w:tcW w:w="2152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3</w:t>
            </w:r>
            <w:r>
              <w:rPr>
                <w:rFonts w:ascii="宋体" w:hAnsi="宋体" w:hint="eastAsia"/>
                <w:bCs/>
                <w:szCs w:val="21"/>
              </w:rPr>
              <w:t>教学建设与改革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揭示教学过程各主要方面和关键环节，包括专业建设、课程建设、教材建设、创新创业教育、教学改革等情况及存在问题和改进措施；</w:t>
            </w:r>
            <w:r>
              <w:rPr>
                <w:rFonts w:ascii="宋体" w:hAnsi="宋体" w:hint="eastAsia"/>
                <w:b/>
                <w:bCs/>
                <w:szCs w:val="21"/>
              </w:rPr>
              <w:t>特别是开设“习近平总书记关于教育重要论述研究”的课程情况，推进马工程重点教材统一使用情况，全校开设课程门数及选修课程开设情况、课堂教学规模、实践教学、毕业论文（设计）以及学生创新创业教育等。</w:t>
            </w:r>
          </w:p>
          <w:p w:rsidR="001A71B9" w:rsidRDefault="001A71B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其中，</w:t>
            </w:r>
            <w:proofErr w:type="gramStart"/>
            <w:r>
              <w:rPr>
                <w:rFonts w:ascii="宋体" w:hAnsi="宋体" w:hint="eastAsia"/>
                <w:bCs/>
                <w:color w:val="FF0000"/>
                <w:szCs w:val="21"/>
              </w:rPr>
              <w:t>请</w:t>
            </w:r>
            <w:r>
              <w:rPr>
                <w:rFonts w:ascii="宋体" w:hAnsi="宋体"/>
                <w:bCs/>
                <w:color w:val="FF0000"/>
                <w:szCs w:val="21"/>
              </w:rPr>
              <w:t>重点</w:t>
            </w:r>
            <w:proofErr w:type="gramEnd"/>
            <w:r>
              <w:rPr>
                <w:rFonts w:ascii="宋体" w:hAnsi="宋体"/>
                <w:bCs/>
                <w:color w:val="FF0000"/>
                <w:szCs w:val="21"/>
              </w:rPr>
              <w:t>阐述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以下相关情况的独到经验或优秀事例</w:t>
            </w:r>
            <w:r>
              <w:rPr>
                <w:rFonts w:ascii="宋体" w:hAnsi="宋体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）学校开展课程思政工作情况。（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）学校开展创新创业教育工作，特别是遴选优秀项目参与</w:t>
            </w:r>
            <w:r>
              <w:rPr>
                <w:rFonts w:ascii="宋体" w:hAnsi="宋体"/>
                <w:bCs/>
                <w:szCs w:val="21"/>
              </w:rPr>
              <w:t>“</w:t>
            </w:r>
            <w:r>
              <w:rPr>
                <w:rFonts w:ascii="宋体" w:hAnsi="宋体"/>
                <w:bCs/>
                <w:szCs w:val="21"/>
              </w:rPr>
              <w:t>互联网</w:t>
            </w:r>
            <w:r>
              <w:rPr>
                <w:rFonts w:ascii="宋体" w:hAnsi="宋体"/>
                <w:bCs/>
                <w:szCs w:val="21"/>
              </w:rPr>
              <w:t>+”</w:t>
            </w:r>
            <w:r>
              <w:rPr>
                <w:rFonts w:ascii="宋体" w:hAnsi="宋体"/>
                <w:bCs/>
                <w:szCs w:val="21"/>
              </w:rPr>
              <w:t>大学生创新创业竞赛情况。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）学校开展基础学科拔尖创新</w:t>
            </w:r>
            <w:r>
              <w:rPr>
                <w:rFonts w:ascii="宋体" w:hAnsi="宋体" w:hint="eastAsia"/>
                <w:bCs/>
                <w:szCs w:val="21"/>
              </w:rPr>
              <w:t>人才培养情况。</w:t>
            </w:r>
            <w:r>
              <w:rPr>
                <w:rFonts w:ascii="宋体" w:hAnsi="宋体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）学校在推进学科专业建设对接产业链发展，提升产教融合协同育人质量，建设现代产业学院或类似机构情况。（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/>
                <w:bCs/>
                <w:szCs w:val="21"/>
              </w:rPr>
              <w:t>）学校加强本科教材使用与管理，指导、鼓励教师编写、使用优秀教材，特别是推进</w:t>
            </w:r>
            <w:r>
              <w:rPr>
                <w:rFonts w:ascii="宋体" w:hAnsi="宋体"/>
                <w:bCs/>
                <w:szCs w:val="21"/>
              </w:rPr>
              <w:t>“</w:t>
            </w:r>
            <w:r>
              <w:rPr>
                <w:rFonts w:ascii="宋体" w:hAnsi="宋体"/>
                <w:bCs/>
                <w:szCs w:val="21"/>
              </w:rPr>
              <w:t>马工程</w:t>
            </w:r>
            <w:r>
              <w:rPr>
                <w:rFonts w:ascii="宋体" w:hAnsi="宋体"/>
                <w:bCs/>
                <w:szCs w:val="21"/>
              </w:rPr>
              <w:t>”</w:t>
            </w:r>
            <w:r>
              <w:rPr>
                <w:rFonts w:ascii="宋体" w:hAnsi="宋体"/>
                <w:bCs/>
                <w:szCs w:val="21"/>
              </w:rPr>
              <w:t>教材使用情况。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）学校加强本科生体育、美育、劳动教育工作，促进本科生综合素质提升的工作情况。（</w:t>
            </w:r>
            <w:r>
              <w:rPr>
                <w:rFonts w:ascii="宋体" w:hAnsi="宋体" w:hint="eastAsia"/>
                <w:bCs/>
                <w:szCs w:val="21"/>
              </w:rPr>
              <w:t>7</w:t>
            </w:r>
            <w:r>
              <w:rPr>
                <w:rFonts w:ascii="宋体" w:hAnsi="宋体" w:hint="eastAsia"/>
                <w:bCs/>
                <w:szCs w:val="21"/>
              </w:rPr>
              <w:t>）学校加强本科生安全生产教育，或建设安全生产学科专业，加强校企合作、校地合作培养安全人才情况。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教务处，其中加强本科生体育、美育、劳动教育工作部分请团委协助提供，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481"/>
        </w:trPr>
        <w:tc>
          <w:tcPr>
            <w:tcW w:w="2152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专业培养能力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展示本</w:t>
            </w:r>
            <w:r>
              <w:rPr>
                <w:rFonts w:ascii="宋体" w:hAnsi="宋体" w:hint="eastAsia"/>
                <w:bCs/>
                <w:szCs w:val="21"/>
              </w:rPr>
              <w:t>科专业培养能力和发展水平，主要描述专业概况，突出特色、优势、问题及困难等。包括主要专业的培养目标、教学条件、人才培养等情况，特别是人才培养目标定位与社会人才适应性、培养方案特点，专任教师树立和结构、生师比、教学经费投入、教学资源、实践教学及实习实训基地，立德树人落实机制、专业课程体系建设、教授授课、实践教学、创新创业教育、学风管理等概况</w:t>
            </w:r>
          </w:p>
        </w:tc>
        <w:tc>
          <w:tcPr>
            <w:tcW w:w="2895" w:type="dxa"/>
            <w:vMerge w:val="restart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教务处，请学生处协助提供学风管理相关材料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481"/>
        </w:trPr>
        <w:tc>
          <w:tcPr>
            <w:tcW w:w="2152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5.</w:t>
            </w:r>
            <w:r>
              <w:rPr>
                <w:rFonts w:ascii="宋体" w:hAnsi="宋体" w:hint="eastAsia"/>
                <w:bCs/>
                <w:szCs w:val="21"/>
              </w:rPr>
              <w:t>质量保障体系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阐述学校人才培养中心地位落实情况、校领导班子研究本科教学工作情况、出台的相关政策措施，教学质量保障体系建设、日常监控与运行、规范教学行为情况，本科基本状态分析，开展专业评估、专业认证、国际评估情况等。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教学质量监控与评估中心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447"/>
        </w:trPr>
        <w:tc>
          <w:tcPr>
            <w:tcW w:w="2152" w:type="dxa"/>
            <w:vMerge w:val="restart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学生发展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本科生生源情况及存在问题和改进措施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</w:t>
            </w:r>
          </w:p>
        </w:tc>
        <w:tc>
          <w:tcPr>
            <w:tcW w:w="4357" w:type="dxa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639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本科生学风建设、学习效果及存在问题和改进措施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学生处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407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本科生指导与服务情况及存在问题和改进措施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学生处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487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应届毕业生毕业情况及存在问题和改进措施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</w:t>
            </w:r>
          </w:p>
        </w:tc>
        <w:tc>
          <w:tcPr>
            <w:tcW w:w="4357" w:type="dxa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709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本科毕业生就业、质量调查情况及存在问题和改进措施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学生处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必</w:t>
            </w:r>
            <w:r>
              <w:rPr>
                <w:rFonts w:ascii="宋体" w:hAnsi="宋体" w:hint="eastAsia"/>
                <w:bCs/>
                <w:szCs w:val="21"/>
              </w:rPr>
              <w:t>文字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>
        <w:trPr>
          <w:trHeight w:val="709"/>
        </w:trPr>
        <w:tc>
          <w:tcPr>
            <w:tcW w:w="2152" w:type="dxa"/>
            <w:vMerge/>
            <w:vAlign w:val="center"/>
          </w:tcPr>
          <w:p w:rsidR="001A71B9" w:rsidRDefault="001A71B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社会用人单位对毕业生的评价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学生处、教学质量监控与评估中心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必</w:t>
            </w:r>
            <w:r>
              <w:rPr>
                <w:rFonts w:ascii="宋体" w:hAnsi="宋体" w:hint="eastAsia"/>
                <w:bCs/>
                <w:szCs w:val="21"/>
              </w:rPr>
              <w:t>文字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描述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数据支撑</w:t>
            </w:r>
          </w:p>
        </w:tc>
      </w:tr>
      <w:tr w:rsidR="001A71B9" w:rsidTr="009C72DB">
        <w:trPr>
          <w:trHeight w:val="823"/>
        </w:trPr>
        <w:tc>
          <w:tcPr>
            <w:tcW w:w="2152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7.</w:t>
            </w:r>
            <w:r>
              <w:rPr>
                <w:rFonts w:ascii="宋体" w:hAnsi="宋体" w:hint="eastAsia"/>
                <w:bCs/>
                <w:szCs w:val="21"/>
              </w:rPr>
              <w:t>特色发展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总结学校在本科教育教学工作中的特色和经验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</w:p>
        </w:tc>
      </w:tr>
      <w:tr w:rsidR="001A71B9">
        <w:trPr>
          <w:trHeight w:val="1041"/>
        </w:trPr>
        <w:tc>
          <w:tcPr>
            <w:tcW w:w="2152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8.</w:t>
            </w:r>
            <w:r>
              <w:rPr>
                <w:rFonts w:ascii="宋体" w:hAnsi="宋体" w:hint="eastAsia"/>
                <w:bCs/>
                <w:szCs w:val="21"/>
              </w:rPr>
              <w:t>需要解决的问题</w:t>
            </w:r>
          </w:p>
        </w:tc>
        <w:tc>
          <w:tcPr>
            <w:tcW w:w="4770" w:type="dxa"/>
            <w:vAlign w:val="center"/>
          </w:tcPr>
          <w:p w:rsidR="001A71B9" w:rsidRDefault="0058106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针对影响教学质量的突出问题，分析主要原因，提出解决问题的措施及建议</w:t>
            </w:r>
          </w:p>
        </w:tc>
        <w:tc>
          <w:tcPr>
            <w:tcW w:w="2895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教务处、人事处、学生处、教学质量监控与评估中心等分别填写相关内容</w:t>
            </w:r>
          </w:p>
        </w:tc>
        <w:tc>
          <w:tcPr>
            <w:tcW w:w="4357" w:type="dxa"/>
            <w:vAlign w:val="center"/>
          </w:tcPr>
          <w:p w:rsidR="001A71B9" w:rsidRDefault="005810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文字描述</w:t>
            </w:r>
          </w:p>
        </w:tc>
      </w:tr>
    </w:tbl>
    <w:p w:rsidR="001A71B9" w:rsidRDefault="001A71B9"/>
    <w:sectPr w:rsidR="001A71B9">
      <w:pgSz w:w="16838" w:h="11906" w:orient="landscape"/>
      <w:pgMar w:top="960" w:right="1440" w:bottom="8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62" w:rsidRDefault="00581062" w:rsidP="009C72DB">
      <w:r>
        <w:separator/>
      </w:r>
    </w:p>
  </w:endnote>
  <w:endnote w:type="continuationSeparator" w:id="0">
    <w:p w:rsidR="00581062" w:rsidRDefault="00581062" w:rsidP="009C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62" w:rsidRDefault="00581062" w:rsidP="009C72DB">
      <w:r>
        <w:separator/>
      </w:r>
    </w:p>
  </w:footnote>
  <w:footnote w:type="continuationSeparator" w:id="0">
    <w:p w:rsidR="00581062" w:rsidRDefault="00581062" w:rsidP="009C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64358"/>
    <w:rsid w:val="000741B2"/>
    <w:rsid w:val="000B1032"/>
    <w:rsid w:val="001A71B9"/>
    <w:rsid w:val="00205250"/>
    <w:rsid w:val="00282342"/>
    <w:rsid w:val="002B417F"/>
    <w:rsid w:val="00387F80"/>
    <w:rsid w:val="00483B27"/>
    <w:rsid w:val="00581062"/>
    <w:rsid w:val="005D6ED2"/>
    <w:rsid w:val="00723CD4"/>
    <w:rsid w:val="007558C7"/>
    <w:rsid w:val="007B17C7"/>
    <w:rsid w:val="00846373"/>
    <w:rsid w:val="008C7F12"/>
    <w:rsid w:val="00983615"/>
    <w:rsid w:val="00992DEC"/>
    <w:rsid w:val="009C27CD"/>
    <w:rsid w:val="009C72DB"/>
    <w:rsid w:val="009F3C44"/>
    <w:rsid w:val="00A201FD"/>
    <w:rsid w:val="00B41CEC"/>
    <w:rsid w:val="00BC648A"/>
    <w:rsid w:val="00C119FF"/>
    <w:rsid w:val="00C87F1F"/>
    <w:rsid w:val="00CB0A12"/>
    <w:rsid w:val="00D90BEF"/>
    <w:rsid w:val="00E066BF"/>
    <w:rsid w:val="00E424BB"/>
    <w:rsid w:val="00E51E13"/>
    <w:rsid w:val="00E5792C"/>
    <w:rsid w:val="00EC3707"/>
    <w:rsid w:val="00F135D2"/>
    <w:rsid w:val="00FB09AC"/>
    <w:rsid w:val="02DF0582"/>
    <w:rsid w:val="1F564358"/>
    <w:rsid w:val="62443B12"/>
    <w:rsid w:val="6B3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lenovo</cp:lastModifiedBy>
  <cp:revision>3</cp:revision>
  <cp:lastPrinted>2021-10-20T02:12:00Z</cp:lastPrinted>
  <dcterms:created xsi:type="dcterms:W3CDTF">2021-10-20T01:58:00Z</dcterms:created>
  <dcterms:modified xsi:type="dcterms:W3CDTF">2021-10-20T02:37:00Z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